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C57" w:rsidRPr="004129CD" w:rsidRDefault="004129CD" w:rsidP="001A5C57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noProof/>
          <w:sz w:val="32"/>
          <w:lang w:eastAsia="en-AU"/>
        </w:rPr>
        <w:drawing>
          <wp:inline distT="0" distB="0" distL="0" distR="0">
            <wp:extent cx="1804746" cy="1490345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hire-Circle-Trayning-Logo-Colour-Medium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0300" cy="1511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5C57" w:rsidRPr="001A5C57" w:rsidRDefault="00DB0B61" w:rsidP="001A5C5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32"/>
        </w:rPr>
        <w:t>Councillor Conduct Complaints Register</w:t>
      </w:r>
    </w:p>
    <w:p w:rsidR="001A5C57" w:rsidRDefault="001A5C57"/>
    <w:p w:rsidR="00DB0B61" w:rsidRPr="00DB0B61" w:rsidRDefault="00DB0B61" w:rsidP="00DB0B61">
      <w:pPr>
        <w:jc w:val="both"/>
        <w:rPr>
          <w:rFonts w:ascii="Arial" w:hAnsi="Arial" w:cs="Arial"/>
        </w:rPr>
      </w:pPr>
      <w:r w:rsidRPr="00DB0B61">
        <w:rPr>
          <w:rFonts w:ascii="Arial" w:hAnsi="Arial" w:cs="Arial"/>
        </w:rPr>
        <w:t xml:space="preserve">A Councillor commits a minor breach if he or she contravenes the Local Government Act </w:t>
      </w:r>
      <w:hyperlink r:id="rId6" w:history="1">
        <w:r w:rsidRPr="007F6CE7">
          <w:rPr>
            <w:rStyle w:val="Hyperlink"/>
            <w:rFonts w:ascii="Arial" w:hAnsi="Arial" w:cs="Arial"/>
            <w:color w:val="2E74B5" w:themeColor="accent1" w:themeShade="BF"/>
          </w:rPr>
          <w:t>(Rules of Conduct) Regulations 2007.</w:t>
        </w:r>
      </w:hyperlink>
      <w:r w:rsidRPr="007F6CE7">
        <w:rPr>
          <w:rFonts w:ascii="Arial" w:hAnsi="Arial" w:cs="Arial"/>
          <w:color w:val="2E74B5" w:themeColor="accent1" w:themeShade="BF"/>
        </w:rPr>
        <w:t xml:space="preserve"> </w:t>
      </w:r>
    </w:p>
    <w:p w:rsidR="00DB0B61" w:rsidRPr="00DB0B61" w:rsidRDefault="00DB0B61" w:rsidP="00DB0B61">
      <w:pPr>
        <w:jc w:val="both"/>
        <w:rPr>
          <w:rFonts w:ascii="Arial" w:hAnsi="Arial" w:cs="Arial"/>
        </w:rPr>
      </w:pPr>
      <w:r w:rsidRPr="00DB0B61">
        <w:rPr>
          <w:rFonts w:ascii="Arial" w:hAnsi="Arial" w:cs="Arial"/>
        </w:rPr>
        <w:t>In accordance with the</w:t>
      </w:r>
      <w:r w:rsidR="007F6CE7" w:rsidRPr="007F6CE7">
        <w:rPr>
          <w:rFonts w:ascii="Arial" w:hAnsi="Arial" w:cs="Arial"/>
          <w:color w:val="2E74B5" w:themeColor="accent1" w:themeShade="BF"/>
        </w:rPr>
        <w:t xml:space="preserve"> </w:t>
      </w:r>
      <w:hyperlink r:id="rId7" w:history="1">
        <w:r w:rsidR="007F6CE7" w:rsidRPr="007F6CE7">
          <w:rPr>
            <w:rStyle w:val="Hyperlink"/>
            <w:rFonts w:ascii="Arial" w:hAnsi="Arial" w:cs="Arial"/>
            <w:color w:val="2E74B5" w:themeColor="accent1" w:themeShade="BF"/>
          </w:rPr>
          <w:t>Local Government Act 1995</w:t>
        </w:r>
      </w:hyperlink>
      <w:r w:rsidR="007F6CE7">
        <w:rPr>
          <w:rFonts w:ascii="Arial" w:hAnsi="Arial" w:cs="Arial"/>
          <w:color w:val="2E74B5" w:themeColor="accent1" w:themeShade="BF"/>
        </w:rPr>
        <w:t>,</w:t>
      </w:r>
      <w:r w:rsidR="007F6CE7">
        <w:rPr>
          <w:rFonts w:ascii="Arial" w:hAnsi="Arial" w:cs="Arial"/>
        </w:rPr>
        <w:t xml:space="preserve"> </w:t>
      </w:r>
      <w:r w:rsidRPr="00DB0B61">
        <w:rPr>
          <w:rFonts w:ascii="Arial" w:hAnsi="Arial" w:cs="Arial"/>
        </w:rPr>
        <w:t xml:space="preserve">a complaint of a minor breach </w:t>
      </w:r>
      <w:proofErr w:type="gramStart"/>
      <w:r w:rsidRPr="00DB0B61">
        <w:rPr>
          <w:rFonts w:ascii="Arial" w:hAnsi="Arial" w:cs="Arial"/>
        </w:rPr>
        <w:t>is submitted</w:t>
      </w:r>
      <w:proofErr w:type="gramEnd"/>
      <w:r w:rsidRPr="00DB0B61">
        <w:rPr>
          <w:rFonts w:ascii="Arial" w:hAnsi="Arial" w:cs="Arial"/>
        </w:rPr>
        <w:t xml:space="preserve"> to the Local Government Standards Panel for determination. </w:t>
      </w:r>
    </w:p>
    <w:p w:rsidR="00DB0B61" w:rsidRPr="00DB0B61" w:rsidRDefault="00DB0B61" w:rsidP="00DB0B61">
      <w:pPr>
        <w:jc w:val="both"/>
        <w:rPr>
          <w:rFonts w:ascii="Arial" w:hAnsi="Arial" w:cs="Arial"/>
        </w:rPr>
      </w:pPr>
      <w:r w:rsidRPr="00DB0B61">
        <w:rPr>
          <w:rFonts w:ascii="Arial" w:hAnsi="Arial" w:cs="Arial"/>
        </w:rPr>
        <w:t xml:space="preserve">Complaints relating to a council member committing a serious breach of the Local Government Act </w:t>
      </w:r>
      <w:proofErr w:type="gramStart"/>
      <w:r w:rsidRPr="00DB0B61">
        <w:rPr>
          <w:rFonts w:ascii="Arial" w:hAnsi="Arial" w:cs="Arial"/>
        </w:rPr>
        <w:t>are forwarded</w:t>
      </w:r>
      <w:proofErr w:type="gramEnd"/>
      <w:r w:rsidRPr="00DB0B61">
        <w:rPr>
          <w:rFonts w:ascii="Arial" w:hAnsi="Arial" w:cs="Arial"/>
        </w:rPr>
        <w:t xml:space="preserve"> to the Department of Local Government in accordance with section 5.114 of the Act.</w:t>
      </w:r>
    </w:p>
    <w:p w:rsidR="001A5C57" w:rsidRDefault="00DB0B61" w:rsidP="00DB0B61">
      <w:pPr>
        <w:jc w:val="both"/>
        <w:rPr>
          <w:rFonts w:ascii="Arial" w:hAnsi="Arial" w:cs="Arial"/>
        </w:rPr>
      </w:pPr>
      <w:r w:rsidRPr="00DB0B61">
        <w:rPr>
          <w:rFonts w:ascii="Arial" w:hAnsi="Arial" w:cs="Arial"/>
        </w:rPr>
        <w:t xml:space="preserve">All complaints submitted are confidential. Details </w:t>
      </w:r>
      <w:proofErr w:type="gramStart"/>
      <w:r w:rsidRPr="00DB0B61">
        <w:rPr>
          <w:rFonts w:ascii="Arial" w:hAnsi="Arial" w:cs="Arial"/>
        </w:rPr>
        <w:t>are only released</w:t>
      </w:r>
      <w:proofErr w:type="gramEnd"/>
      <w:r w:rsidRPr="00DB0B61">
        <w:rPr>
          <w:rFonts w:ascii="Arial" w:hAnsi="Arial" w:cs="Arial"/>
        </w:rPr>
        <w:t xml:space="preserve"> if the Local Government Standards Panel determine a breach and release their findings and decision.</w:t>
      </w:r>
    </w:p>
    <w:p w:rsidR="007F6CE7" w:rsidRPr="00DB0B61" w:rsidRDefault="007F6CE7" w:rsidP="007F6CE7">
      <w:pPr>
        <w:jc w:val="both"/>
        <w:rPr>
          <w:rFonts w:ascii="Arial" w:hAnsi="Arial" w:cs="Arial"/>
        </w:rPr>
      </w:pPr>
      <w:r w:rsidRPr="00DB0B61">
        <w:rPr>
          <w:rFonts w:ascii="Arial" w:hAnsi="Arial" w:cs="Arial"/>
        </w:rPr>
        <w:t>The Councillor Conduct Complaints Register</w:t>
      </w:r>
      <w:r>
        <w:rPr>
          <w:rFonts w:ascii="Arial" w:hAnsi="Arial" w:cs="Arial"/>
        </w:rPr>
        <w:t xml:space="preserve"> </w:t>
      </w:r>
      <w:r w:rsidRPr="00DB0B61">
        <w:rPr>
          <w:rFonts w:ascii="Arial" w:hAnsi="Arial" w:cs="Arial"/>
        </w:rPr>
        <w:t xml:space="preserve">provides details of breaches related to the Local Government Act (Rules of Conduct) Regulations </w:t>
      </w:r>
      <w:proofErr w:type="gramStart"/>
      <w:r w:rsidRPr="00DB0B61">
        <w:rPr>
          <w:rFonts w:ascii="Arial" w:hAnsi="Arial" w:cs="Arial"/>
        </w:rPr>
        <w:t>2007 which the Local Government Standards Panel find has occurred</w:t>
      </w:r>
      <w:proofErr w:type="gramEnd"/>
      <w:r w:rsidRPr="00DB0B61">
        <w:rPr>
          <w:rFonts w:ascii="Arial" w:hAnsi="Arial" w:cs="Arial"/>
        </w:rPr>
        <w:t xml:space="preserve"> and the actions taken.  The Councillor Conduct Complaints Register </w:t>
      </w:r>
      <w:proofErr w:type="gramStart"/>
      <w:r w:rsidRPr="00DB0B61">
        <w:rPr>
          <w:rFonts w:ascii="Arial" w:hAnsi="Arial" w:cs="Arial"/>
        </w:rPr>
        <w:t>is published</w:t>
      </w:r>
      <w:proofErr w:type="gramEnd"/>
      <w:r w:rsidRPr="00DB0B61">
        <w:rPr>
          <w:rFonts w:ascii="Arial" w:hAnsi="Arial" w:cs="Arial"/>
        </w:rPr>
        <w:t xml:space="preserve"> in the interest of accountabil</w:t>
      </w:r>
      <w:r>
        <w:rPr>
          <w:rFonts w:ascii="Arial" w:hAnsi="Arial" w:cs="Arial"/>
        </w:rPr>
        <w:t xml:space="preserve">ity and transparency [s5.121]. </w:t>
      </w:r>
    </w:p>
    <w:p w:rsidR="007F6CE7" w:rsidRPr="00DB0B61" w:rsidRDefault="007F6CE7" w:rsidP="007F6CE7">
      <w:pPr>
        <w:jc w:val="both"/>
        <w:rPr>
          <w:rFonts w:ascii="Arial" w:hAnsi="Arial" w:cs="Arial"/>
        </w:rPr>
      </w:pPr>
      <w:r w:rsidRPr="00DB0B61">
        <w:rPr>
          <w:rFonts w:ascii="Arial" w:hAnsi="Arial" w:cs="Arial"/>
        </w:rPr>
        <w:t xml:space="preserve">Further information on the minor breach system </w:t>
      </w:r>
      <w:proofErr w:type="gramStart"/>
      <w:r w:rsidRPr="00DB0B61">
        <w:rPr>
          <w:rFonts w:ascii="Arial" w:hAnsi="Arial" w:cs="Arial"/>
        </w:rPr>
        <w:t>can be found</w:t>
      </w:r>
      <w:proofErr w:type="gramEnd"/>
      <w:r w:rsidRPr="00DB0B61">
        <w:rPr>
          <w:rFonts w:ascii="Arial" w:hAnsi="Arial" w:cs="Arial"/>
        </w:rPr>
        <w:t xml:space="preserve"> on the Department of Local Government, Sport and Cultural Industries website</w:t>
      </w:r>
      <w:r>
        <w:rPr>
          <w:rFonts w:ascii="Arial" w:hAnsi="Arial" w:cs="Arial"/>
        </w:rPr>
        <w:t xml:space="preserve">. </w:t>
      </w:r>
      <w:hyperlink r:id="rId8" w:history="1">
        <w:r w:rsidRPr="007F6CE7">
          <w:rPr>
            <w:rStyle w:val="Hyperlink"/>
            <w:rFonts w:ascii="Arial" w:hAnsi="Arial" w:cs="Arial"/>
            <w:color w:val="2E74B5" w:themeColor="accent1" w:themeShade="BF"/>
          </w:rPr>
          <w:t>Department of Local Government, Sport and Cultural Industries website.</w:t>
        </w:r>
      </w:hyperlink>
    </w:p>
    <w:p w:rsidR="007F6CE7" w:rsidRDefault="007F6CE7" w:rsidP="00DB0B61">
      <w:pPr>
        <w:jc w:val="both"/>
        <w:rPr>
          <w:rFonts w:ascii="Arial" w:hAnsi="Arial" w:cs="Arial"/>
        </w:rPr>
      </w:pPr>
    </w:p>
    <w:p w:rsidR="007F6CE7" w:rsidRDefault="007F6CE7" w:rsidP="00DB0B61">
      <w:pPr>
        <w:jc w:val="both"/>
        <w:rPr>
          <w:rFonts w:ascii="Arial" w:hAnsi="Arial" w:cs="Arial"/>
        </w:rPr>
      </w:pPr>
    </w:p>
    <w:p w:rsidR="007F6CE7" w:rsidRDefault="007F6CE7" w:rsidP="00DB0B61">
      <w:pPr>
        <w:jc w:val="both"/>
        <w:rPr>
          <w:rFonts w:ascii="Arial" w:hAnsi="Arial" w:cs="Arial"/>
        </w:rPr>
      </w:pPr>
    </w:p>
    <w:p w:rsidR="007F6CE7" w:rsidRDefault="007F6CE7" w:rsidP="007F6CE7">
      <w:pPr>
        <w:ind w:left="-567" w:hanging="284"/>
        <w:jc w:val="both"/>
        <w:rPr>
          <w:rFonts w:ascii="Arial" w:hAnsi="Arial" w:cs="Arial"/>
          <w:b/>
        </w:rPr>
      </w:pPr>
      <w:r w:rsidRPr="007F6CE7">
        <w:rPr>
          <w:rFonts w:ascii="Arial" w:hAnsi="Arial" w:cs="Arial"/>
          <w:b/>
        </w:rPr>
        <w:t>Councillor Conduct Complaints Register</w:t>
      </w:r>
    </w:p>
    <w:p w:rsidR="006A711C" w:rsidRPr="006A711C" w:rsidRDefault="006A711C" w:rsidP="007F6CE7">
      <w:pPr>
        <w:ind w:left="-567" w:hanging="284"/>
        <w:jc w:val="both"/>
        <w:rPr>
          <w:rFonts w:ascii="Arial" w:hAnsi="Arial" w:cs="Arial"/>
        </w:rPr>
      </w:pPr>
      <w:r w:rsidRPr="006A711C">
        <w:rPr>
          <w:rFonts w:ascii="Arial" w:hAnsi="Arial" w:cs="Arial"/>
        </w:rPr>
        <w:t xml:space="preserve">There are currently no </w:t>
      </w:r>
      <w:r w:rsidR="008124D3">
        <w:rPr>
          <w:rFonts w:ascii="Arial" w:hAnsi="Arial" w:cs="Arial"/>
        </w:rPr>
        <w:t>entires</w:t>
      </w:r>
      <w:bookmarkStart w:id="0" w:name="_GoBack"/>
      <w:bookmarkEnd w:id="0"/>
      <w:r w:rsidRPr="006A711C">
        <w:rPr>
          <w:rFonts w:ascii="Arial" w:hAnsi="Arial" w:cs="Arial"/>
        </w:rPr>
        <w:t xml:space="preserve"> in accordance with section 5.114 of the LG Act.</w:t>
      </w:r>
    </w:p>
    <w:tbl>
      <w:tblPr>
        <w:tblW w:w="11001" w:type="dxa"/>
        <w:tblInd w:w="-856" w:type="dxa"/>
        <w:tblLook w:val="04A0" w:firstRow="1" w:lastRow="0" w:firstColumn="1" w:lastColumn="0" w:noHBand="0" w:noVBand="1"/>
      </w:tblPr>
      <w:tblGrid>
        <w:gridCol w:w="851"/>
        <w:gridCol w:w="2126"/>
        <w:gridCol w:w="2126"/>
        <w:gridCol w:w="3067"/>
        <w:gridCol w:w="2831"/>
      </w:tblGrid>
      <w:tr w:rsidR="00DB0B61" w:rsidRPr="001A5C57" w:rsidTr="00DB0B61">
        <w:trPr>
          <w:trHeight w:val="5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497B0"/>
          </w:tcPr>
          <w:p w:rsidR="00DB0B61" w:rsidRPr="001A5C57" w:rsidRDefault="00DB0B61" w:rsidP="00DB0B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  <w:r w:rsidRPr="001A5C57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 xml:space="preserve">Date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497B0"/>
            <w:noWrap/>
            <w:hideMark/>
          </w:tcPr>
          <w:p w:rsidR="00DB0B61" w:rsidRDefault="00DB0B61" w:rsidP="001A5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  <w:r w:rsidRPr="001A5C57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>Elected Member</w:t>
            </w:r>
          </w:p>
          <w:p w:rsidR="00DB0B61" w:rsidRPr="001A5C57" w:rsidRDefault="00DB0B61" w:rsidP="001A5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>Name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497B0"/>
            <w:noWrap/>
            <w:hideMark/>
          </w:tcPr>
          <w:p w:rsidR="00DB0B61" w:rsidRPr="001A5C57" w:rsidRDefault="00DB0B61" w:rsidP="00DB0B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>Complainant Name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497B0"/>
            <w:noWrap/>
            <w:hideMark/>
          </w:tcPr>
          <w:p w:rsidR="00DB0B61" w:rsidRPr="001A5C57" w:rsidRDefault="00DB0B61" w:rsidP="001A5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>Description of Breach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497B0"/>
          </w:tcPr>
          <w:p w:rsidR="00DB0B61" w:rsidRDefault="00DB0B61" w:rsidP="00DB0B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>Action Taken (by Panel)</w:t>
            </w:r>
          </w:p>
        </w:tc>
      </w:tr>
      <w:tr w:rsidR="00DB0B61" w:rsidRPr="001A5C57" w:rsidTr="00DB0B61">
        <w:trPr>
          <w:trHeight w:val="59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</w:tcPr>
          <w:p w:rsidR="00DB0B61" w:rsidRPr="001A5C57" w:rsidRDefault="00DB0B61" w:rsidP="001A5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</w:tcPr>
          <w:p w:rsidR="00DB0B61" w:rsidRPr="001A5C57" w:rsidRDefault="00DB0B61" w:rsidP="001A5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DB0B61" w:rsidRPr="001A5C57" w:rsidRDefault="00DB0B61" w:rsidP="001A5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1A5C57">
              <w:rPr>
                <w:rFonts w:ascii="Arial" w:eastAsia="Times New Roman" w:hAnsi="Arial" w:cs="Arial"/>
                <w:color w:val="000000"/>
                <w:lang w:eastAsia="en-AU"/>
              </w:rPr>
              <w:t> 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DB0B61" w:rsidRPr="001A5C57" w:rsidRDefault="00DB0B61" w:rsidP="001A5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1A5C57">
              <w:rPr>
                <w:rFonts w:ascii="Arial" w:eastAsia="Times New Roman" w:hAnsi="Arial" w:cs="Arial"/>
                <w:color w:val="000000"/>
                <w:lang w:eastAsia="en-AU"/>
              </w:rPr>
              <w:t> 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</w:tcPr>
          <w:p w:rsidR="00DB0B61" w:rsidRPr="001A5C57" w:rsidRDefault="00DB0B61" w:rsidP="001A5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</w:tr>
      <w:tr w:rsidR="00DB0B61" w:rsidRPr="001A5C57" w:rsidTr="00DB0B61">
        <w:trPr>
          <w:trHeight w:val="59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61" w:rsidRPr="001A5C57" w:rsidRDefault="00DB0B61" w:rsidP="001A5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0B61" w:rsidRPr="001A5C57" w:rsidRDefault="00DB0B61" w:rsidP="001A5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61" w:rsidRPr="001A5C57" w:rsidRDefault="00DB0B61" w:rsidP="001A5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1A5C57">
              <w:rPr>
                <w:rFonts w:ascii="Arial" w:eastAsia="Times New Roman" w:hAnsi="Arial" w:cs="Arial"/>
                <w:color w:val="000000"/>
                <w:lang w:eastAsia="en-AU"/>
              </w:rPr>
              <w:t> 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61" w:rsidRPr="001A5C57" w:rsidRDefault="00DB0B61" w:rsidP="001A5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1A5C57">
              <w:rPr>
                <w:rFonts w:ascii="Arial" w:eastAsia="Times New Roman" w:hAnsi="Arial" w:cs="Arial"/>
                <w:color w:val="000000"/>
                <w:lang w:eastAsia="en-AU"/>
              </w:rPr>
              <w:t> 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0B61" w:rsidRPr="001A5C57" w:rsidRDefault="00DB0B61" w:rsidP="001A5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</w:tr>
      <w:tr w:rsidR="00DB0B61" w:rsidRPr="001A5C57" w:rsidTr="00DB0B61">
        <w:trPr>
          <w:trHeight w:val="59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</w:tcPr>
          <w:p w:rsidR="00DB0B61" w:rsidRPr="001A5C57" w:rsidRDefault="00DB0B61" w:rsidP="001A5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</w:tcPr>
          <w:p w:rsidR="00DB0B61" w:rsidRPr="001A5C57" w:rsidRDefault="00DB0B61" w:rsidP="001A5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DB0B61" w:rsidRPr="001A5C57" w:rsidRDefault="00DB0B61" w:rsidP="001A5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1A5C57">
              <w:rPr>
                <w:rFonts w:ascii="Arial" w:eastAsia="Times New Roman" w:hAnsi="Arial" w:cs="Arial"/>
                <w:color w:val="000000"/>
                <w:lang w:eastAsia="en-AU"/>
              </w:rPr>
              <w:t> 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DB0B61" w:rsidRPr="001A5C57" w:rsidRDefault="00DB0B61" w:rsidP="001A5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1A5C57">
              <w:rPr>
                <w:rFonts w:ascii="Arial" w:eastAsia="Times New Roman" w:hAnsi="Arial" w:cs="Arial"/>
                <w:color w:val="000000"/>
                <w:lang w:eastAsia="en-AU"/>
              </w:rPr>
              <w:t> 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</w:tcPr>
          <w:p w:rsidR="00DB0B61" w:rsidRPr="001A5C57" w:rsidRDefault="00DB0B61" w:rsidP="001A5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</w:tr>
      <w:tr w:rsidR="00DB0B61" w:rsidRPr="001A5C57" w:rsidTr="00DB0B61">
        <w:trPr>
          <w:trHeight w:val="59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61" w:rsidRPr="001A5C57" w:rsidRDefault="00DB0B61" w:rsidP="001A5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0B61" w:rsidRPr="001A5C57" w:rsidRDefault="00DB0B61" w:rsidP="001A5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61" w:rsidRPr="001A5C57" w:rsidRDefault="00DB0B61" w:rsidP="001A5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1A5C57">
              <w:rPr>
                <w:rFonts w:ascii="Arial" w:eastAsia="Times New Roman" w:hAnsi="Arial" w:cs="Arial"/>
                <w:color w:val="000000"/>
                <w:lang w:eastAsia="en-AU"/>
              </w:rPr>
              <w:t> 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61" w:rsidRPr="001A5C57" w:rsidRDefault="00DB0B61" w:rsidP="001A5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1A5C57">
              <w:rPr>
                <w:rFonts w:ascii="Arial" w:eastAsia="Times New Roman" w:hAnsi="Arial" w:cs="Arial"/>
                <w:color w:val="000000"/>
                <w:lang w:eastAsia="en-AU"/>
              </w:rPr>
              <w:t> 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0B61" w:rsidRPr="001A5C57" w:rsidRDefault="00DB0B61" w:rsidP="001A5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</w:tr>
    </w:tbl>
    <w:p w:rsidR="00DB0B61" w:rsidRDefault="00DB0B61" w:rsidP="00DB0B61">
      <w:pPr>
        <w:rPr>
          <w:rFonts w:ascii="Arial" w:hAnsi="Arial" w:cs="Arial"/>
        </w:rPr>
      </w:pPr>
    </w:p>
    <w:p w:rsidR="00DB0B61" w:rsidRPr="00DB0B61" w:rsidRDefault="00DB0B61" w:rsidP="00DB0B61">
      <w:pPr>
        <w:jc w:val="both"/>
        <w:rPr>
          <w:rFonts w:ascii="Arial" w:hAnsi="Arial" w:cs="Arial"/>
        </w:rPr>
      </w:pPr>
    </w:p>
    <w:p w:rsidR="004129CD" w:rsidRPr="00DB0B61" w:rsidRDefault="004129CD" w:rsidP="00DB0B61">
      <w:pPr>
        <w:jc w:val="both"/>
        <w:rPr>
          <w:rFonts w:ascii="Arial" w:hAnsi="Arial" w:cs="Arial"/>
          <w:sz w:val="24"/>
        </w:rPr>
      </w:pPr>
    </w:p>
    <w:sectPr w:rsidR="004129CD" w:rsidRPr="00DB0B61" w:rsidSect="004129CD">
      <w:pgSz w:w="11906" w:h="16838"/>
      <w:pgMar w:top="568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8F1B0C"/>
    <w:multiLevelType w:val="hybridMultilevel"/>
    <w:tmpl w:val="4E14DA66"/>
    <w:lvl w:ilvl="0" w:tplc="AFAE4778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40" w:hanging="360"/>
      </w:pPr>
    </w:lvl>
    <w:lvl w:ilvl="2" w:tplc="0C09001B" w:tentative="1">
      <w:start w:val="1"/>
      <w:numFmt w:val="lowerRoman"/>
      <w:lvlText w:val="%3."/>
      <w:lvlJc w:val="right"/>
      <w:pPr>
        <w:ind w:left="1860" w:hanging="180"/>
      </w:pPr>
    </w:lvl>
    <w:lvl w:ilvl="3" w:tplc="0C09000F" w:tentative="1">
      <w:start w:val="1"/>
      <w:numFmt w:val="decimal"/>
      <w:lvlText w:val="%4."/>
      <w:lvlJc w:val="left"/>
      <w:pPr>
        <w:ind w:left="2580" w:hanging="360"/>
      </w:pPr>
    </w:lvl>
    <w:lvl w:ilvl="4" w:tplc="0C090019" w:tentative="1">
      <w:start w:val="1"/>
      <w:numFmt w:val="lowerLetter"/>
      <w:lvlText w:val="%5."/>
      <w:lvlJc w:val="left"/>
      <w:pPr>
        <w:ind w:left="3300" w:hanging="360"/>
      </w:pPr>
    </w:lvl>
    <w:lvl w:ilvl="5" w:tplc="0C09001B" w:tentative="1">
      <w:start w:val="1"/>
      <w:numFmt w:val="lowerRoman"/>
      <w:lvlText w:val="%6."/>
      <w:lvlJc w:val="right"/>
      <w:pPr>
        <w:ind w:left="4020" w:hanging="180"/>
      </w:pPr>
    </w:lvl>
    <w:lvl w:ilvl="6" w:tplc="0C09000F" w:tentative="1">
      <w:start w:val="1"/>
      <w:numFmt w:val="decimal"/>
      <w:lvlText w:val="%7."/>
      <w:lvlJc w:val="left"/>
      <w:pPr>
        <w:ind w:left="4740" w:hanging="360"/>
      </w:pPr>
    </w:lvl>
    <w:lvl w:ilvl="7" w:tplc="0C090019" w:tentative="1">
      <w:start w:val="1"/>
      <w:numFmt w:val="lowerLetter"/>
      <w:lvlText w:val="%8."/>
      <w:lvlJc w:val="left"/>
      <w:pPr>
        <w:ind w:left="5460" w:hanging="360"/>
      </w:pPr>
    </w:lvl>
    <w:lvl w:ilvl="8" w:tplc="0C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C57"/>
    <w:rsid w:val="001A5C57"/>
    <w:rsid w:val="004129CD"/>
    <w:rsid w:val="006A711C"/>
    <w:rsid w:val="007F6CE7"/>
    <w:rsid w:val="008124D3"/>
    <w:rsid w:val="00DB0B61"/>
    <w:rsid w:val="00DC7D72"/>
    <w:rsid w:val="00E1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A8B74"/>
  <w15:chartTrackingRefBased/>
  <w15:docId w15:val="{5BB907B1-4FF9-4A6F-85A4-B54DC9036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29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0B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88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lgsc.wa.gov.au/local-government/local-governments/compliance-and-governance/breaches-of-the-local-government-act/minor-breach-findings/the-minor-breach-syste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egislation.wa.gov.au/legislation/statutes.nsf/main_mrtitle_551_homepag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egislation.wa.gov.au/legislation/statutes.nsf/main_mrtitle_2720_homepage.htm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Shire of Trayning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Belinda Taylor</dc:creator>
  <cp:keywords/>
  <dc:description/>
  <cp:lastModifiedBy>Belinda Taylor</cp:lastModifiedBy>
  <cp:revision>5</cp:revision>
  <dcterms:created xsi:type="dcterms:W3CDTF">2019-09-25T08:48:00Z</dcterms:created>
  <dcterms:modified xsi:type="dcterms:W3CDTF">2020-02-06T06:59:00Z</dcterms:modified>
</cp:coreProperties>
</file>